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1E" w:rsidRPr="00FD63FC" w:rsidRDefault="00FD63FC">
      <w:pPr>
        <w:rPr>
          <w:sz w:val="30"/>
          <w:szCs w:val="30"/>
        </w:rPr>
      </w:pPr>
      <w:r>
        <w:rPr>
          <w:rFonts w:ascii="微软雅黑" w:eastAsia="微软雅黑" w:hAnsi="微软雅黑" w:hint="eastAsia"/>
          <w:color w:val="333333"/>
          <w:sz w:val="30"/>
          <w:szCs w:val="30"/>
          <w:shd w:val="clear" w:color="auto" w:fill="FFFFFF"/>
        </w:rPr>
        <w:tab/>
      </w:r>
      <w:r w:rsidRPr="00FD63FC">
        <w:rPr>
          <w:rFonts w:ascii="微软雅黑" w:eastAsia="微软雅黑" w:hAnsi="微软雅黑" w:hint="eastAsia"/>
          <w:color w:val="333333"/>
          <w:sz w:val="30"/>
          <w:szCs w:val="30"/>
          <w:shd w:val="clear" w:color="auto" w:fill="FFFFFF"/>
        </w:rPr>
        <w:t>负责省总工会常委会部署工作的协调、督查工作，负责反映全省工会工作和全省职工队伍的重要情况与动态，负责省总工会机关制度建设和日常管理工作，负责省总工会重要会议和重大活动的组织协调工作，负责省总工会文件和相关文稿的起草审核工作，负责机关文电、档案、保密、信息、统计、督查考核等日常运转工作，负责行政资产管理、行政后勤工作。</w:t>
      </w:r>
    </w:p>
    <w:sectPr w:rsidR="00F60D1E" w:rsidRPr="00FD6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D1E" w:rsidRDefault="00F60D1E" w:rsidP="00FD63FC">
      <w:r>
        <w:separator/>
      </w:r>
    </w:p>
  </w:endnote>
  <w:endnote w:type="continuationSeparator" w:id="1">
    <w:p w:rsidR="00F60D1E" w:rsidRDefault="00F60D1E" w:rsidP="00FD6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D1E" w:rsidRDefault="00F60D1E" w:rsidP="00FD63FC">
      <w:r>
        <w:separator/>
      </w:r>
    </w:p>
  </w:footnote>
  <w:footnote w:type="continuationSeparator" w:id="1">
    <w:p w:rsidR="00F60D1E" w:rsidRDefault="00F60D1E" w:rsidP="00FD63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3FC"/>
    <w:rsid w:val="00F60D1E"/>
    <w:rsid w:val="00FD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6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63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6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63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2018-08-18T02:34:00Z</dcterms:created>
  <dcterms:modified xsi:type="dcterms:W3CDTF">2018-08-18T02:34:00Z</dcterms:modified>
</cp:coreProperties>
</file>